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Премиальные коэффициенты за «нестраховые периоды»</w:t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период прохождения военной службы, а так же другой, приравненной к ней службы;</w:t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период ухода одного из родителей за одним ребенком до достижения им возраста полутора лет (учитывается не более 6 лет, с дифференцированным коэффициентом;</w:t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период ухода, осуществляемого трудоспособным лицом за инвалидом 1 группы, ребенком-инвалидом или за лицом, достигшего возраста 80 лет;</w:t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- период проживания за границей супругов работников, направленных в дипломатические представительства и консульские учреждения РФ, постоянные представительства при международных организациях, торговые представительства РФ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РФ (государственных органов и государственных учреждений СССР) за границей и международные организации, перечень которых утверждается Правительством РФ, но не более 5 лет в общей сложности. </w:t>
      </w:r>
    </w:p>
    <w:p>
      <w:pPr>
        <w:pStyle w:val="Normal"/>
        <w:tabs>
          <w:tab w:val="left" w:pos="2820" w:leader="none"/>
        </w:tabs>
        <w:spacing w:lineRule="auto" w:line="228"/>
        <w:jc w:val="center"/>
        <w:rPr>
          <w:rFonts w:ascii="Calibri" w:hAnsi="Calibri" w:cs="Calibri"/>
          <w:b/>
          <w:b/>
          <w:bCs/>
          <w:color w:val="FF0000"/>
          <w:sz w:val="30"/>
          <w:szCs w:val="30"/>
        </w:rPr>
      </w:pPr>
      <w:r>
        <w:rPr>
          <w:rFonts w:cs="Calibri" w:ascii="Calibri" w:hAnsi="Calibri"/>
          <w:b/>
          <w:bCs/>
          <w:color w:val="FF0000"/>
          <w:sz w:val="30"/>
          <w:szCs w:val="30"/>
        </w:rPr>
        <w:t xml:space="preserve">Коэффициент за полный календарный год иного периода </w:t>
      </w:r>
    </w:p>
    <w:p>
      <w:pPr>
        <w:pStyle w:val="Normal"/>
        <w:numPr>
          <w:ilvl w:val="0"/>
          <w:numId w:val="0"/>
        </w:numPr>
        <w:tabs>
          <w:tab w:val="left" w:pos="2820" w:leader="none"/>
        </w:tabs>
        <w:spacing w:lineRule="auto" w:line="228" w:beforeAutospacing="1" w:afterAutospacing="1"/>
        <w:jc w:val="center"/>
        <w:outlineLvl w:val="0"/>
        <w:rPr>
          <w:rFonts w:ascii="Calibri" w:hAnsi="Calibri" w:cs="Calibri"/>
          <w:b/>
          <w:b/>
          <w:bCs/>
          <w:color w:val="FF0000"/>
          <w:sz w:val="30"/>
          <w:szCs w:val="30"/>
        </w:rPr>
      </w:pPr>
      <w:r>
        <w:rPr>
          <w:rFonts w:cs="Calibri" w:ascii="LiberationSerif" w:hAnsi="LiberationSerif"/>
          <w:b/>
          <w:bCs/>
          <w:i/>
          <w:color w:val="000000"/>
          <w:sz w:val="32"/>
          <w:szCs w:val="30"/>
        </w:rPr>
        <w:t>составляет 1,8</w:t>
      </w:r>
    </w:p>
    <w:p>
      <w:pPr>
        <w:pStyle w:val="Normal"/>
        <w:spacing w:lineRule="auto" w:line="228"/>
        <w:jc w:val="both"/>
        <w:rPr/>
      </w:pPr>
      <w:r>
        <w:rPr>
          <w:rFonts w:cs="Calibri" w:ascii="Calibri" w:hAnsi="Calibri"/>
          <w:b/>
          <w:bCs/>
          <w:color w:val="003F9A"/>
          <w:sz w:val="44"/>
          <w:szCs w:val="44"/>
        </w:rPr>
        <w:t>Исключение:</w:t>
      </w:r>
    </w:p>
    <w:p>
      <w:pPr>
        <w:pStyle w:val="Normal"/>
        <w:spacing w:lineRule="auto" w:line="22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Коэффициенты за периоды ухода за детьми составляют:</w:t>
      </w:r>
    </w:p>
    <w:p>
      <w:pPr>
        <w:pStyle w:val="Normal"/>
        <w:spacing w:lineRule="auto" w:line="228"/>
        <w:jc w:val="both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- 1,8 за первого ребенка;</w:t>
      </w:r>
    </w:p>
    <w:p>
      <w:pPr>
        <w:pStyle w:val="Normal"/>
        <w:spacing w:lineRule="auto" w:line="228"/>
        <w:jc w:val="both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- 3,6 за второго ребенка;</w:t>
      </w:r>
    </w:p>
    <w:p>
      <w:pPr>
        <w:pStyle w:val="Normal"/>
        <w:numPr>
          <w:ilvl w:val="0"/>
          <w:numId w:val="0"/>
        </w:numPr>
        <w:tabs>
          <w:tab w:val="left" w:pos="2820" w:leader="none"/>
        </w:tabs>
        <w:spacing w:lineRule="auto" w:line="228" w:beforeAutospacing="1" w:afterAutospacing="1"/>
        <w:jc w:val="both"/>
        <w:outlineLvl w:val="0"/>
        <w:rPr>
          <w:rFonts w:ascii="Calibri" w:hAnsi="Calibri" w:cs="Calibri"/>
          <w:b/>
          <w:b/>
          <w:bCs/>
          <w:color w:val="FF0000"/>
          <w:sz w:val="30"/>
          <w:szCs w:val="30"/>
        </w:rPr>
      </w:pPr>
      <w:r>
        <w:rPr>
          <w:rFonts w:cs="Calibri" w:ascii="Calibri" w:hAnsi="Calibri"/>
          <w:b/>
          <w:bCs/>
          <w:i/>
          <w:color w:val="003F9A"/>
          <w:sz w:val="30"/>
          <w:szCs w:val="30"/>
        </w:rPr>
        <w:t>- 5,4 за третьего и четвертого ребенка.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13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2021-03-16T14:51:25Z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