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F6191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56EEE" w:rsidRPr="00F56EEE" w:rsidRDefault="00F56EEE" w:rsidP="00F56E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6EEE">
        <w:rPr>
          <w:rFonts w:ascii="Times New Roman" w:hAnsi="Times New Roman" w:cs="Times New Roman"/>
          <w:b/>
          <w:sz w:val="28"/>
          <w:szCs w:val="28"/>
        </w:rPr>
        <w:t>Действия Управления Росреестра по Волгоградской области при признании действий (бездействия) арбитражного управляющего незаконными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При проведении процедур, применяемых в деле о банкротстве, арбитражный управляющий обязан действовать добросовестно и разумно в интересах должника, кредиторов и общества.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Закон о банкротстве предоставляет кредитору право обращаться в арбитражный суд с жалобой о нарушении его прав и законных интересов действиями (бездействием) арбитражного управляющего.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Основанием для удовлетворения жалобы кредиторов о нарушении их прав и законных интересов действием (бездействием) арбитражным управляющим является установление арбитражным судом в совокупности фактов несоответствия этих действий (бездействия) законодательству и нарушения такими действиями (бездействием) прав и законных интересов кредиторов должника.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Волгоградской области направляются для сведения, лицами, участвующими в деле о несостоятельности (банкротстве), заявления о признании действий (бездействия) арбитражных управляющих незаконными, которые рассматриваются Арбитражным судом Волгоградской области.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Вышеуказанные заявления Управлением берутся на контроль.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Арбитражный суд рассмотрев заявление о признании действий (бездействия) арбитражного управляющего незаконными, выносит судебный акт (определение) об отказе в заявлении о признании действий (бездействия) арбитражного управляющего соответствующими законодательства или признает их незаконными.</w:t>
      </w:r>
    </w:p>
    <w:p w:rsidR="00F56EEE" w:rsidRPr="00F56EEE" w:rsidRDefault="00F56EEE" w:rsidP="00F56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При признании судебным актом действий (бездействия) арбитражного управляющего незаконными, после вступления в законную силу судебного акта, Управлением Росреестра по Волгоградской области в отношении арбитражного управляющего принимается решение в рамках полномочий, предоставленных Кодексом Российской Федерации об административных правонарушениях.</w:t>
      </w:r>
    </w:p>
    <w:p w:rsidR="00F56EEE" w:rsidRPr="00F56EEE" w:rsidRDefault="00F56EEE" w:rsidP="00F56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EEE">
        <w:rPr>
          <w:rFonts w:ascii="Times New Roman" w:hAnsi="Times New Roman" w:cs="Times New Roman"/>
          <w:sz w:val="28"/>
          <w:szCs w:val="28"/>
        </w:rPr>
        <w:t>«</w:t>
      </w:r>
      <w:r w:rsidRPr="00023785">
        <w:rPr>
          <w:rFonts w:ascii="Times New Roman" w:hAnsi="Times New Roman" w:cs="Times New Roman"/>
          <w:i/>
          <w:sz w:val="28"/>
          <w:szCs w:val="28"/>
        </w:rPr>
        <w:t xml:space="preserve">Управление в рамках полномочий, принимает решение о вызове арбитражного управляющего для составления протокола об </w:t>
      </w:r>
      <w:r w:rsidRPr="00023785">
        <w:rPr>
          <w:rFonts w:ascii="Times New Roman" w:hAnsi="Times New Roman" w:cs="Times New Roman"/>
          <w:i/>
          <w:sz w:val="28"/>
          <w:szCs w:val="28"/>
        </w:rPr>
        <w:lastRenderedPageBreak/>
        <w:t>административном правонарушении</w:t>
      </w:r>
      <w:r w:rsidRPr="00F56EEE">
        <w:rPr>
          <w:rFonts w:ascii="Times New Roman" w:hAnsi="Times New Roman" w:cs="Times New Roman"/>
          <w:bCs/>
          <w:sz w:val="28"/>
          <w:szCs w:val="28"/>
        </w:rPr>
        <w:t xml:space="preserve">», - отмечает </w:t>
      </w:r>
      <w:r w:rsidRPr="00F56EEE"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Волгоградской области </w:t>
      </w:r>
      <w:r w:rsidRPr="00F56EEE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F56EEE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F56EE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F6" w:rsidRDefault="001423F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23785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423F6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906FB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0677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2E8D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56EEE"/>
    <w:rsid w:val="00F61919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1"/>
    <w:rsid w:val="00E763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7</cp:revision>
  <cp:lastPrinted>2021-04-26T13:06:00Z</cp:lastPrinted>
  <dcterms:created xsi:type="dcterms:W3CDTF">2022-03-18T06:11:00Z</dcterms:created>
  <dcterms:modified xsi:type="dcterms:W3CDTF">2022-03-24T11:09:00Z</dcterms:modified>
</cp:coreProperties>
</file>