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Пенсионный фонд продлил до конца июля упрощенный порядок оформления пенсий и социальных выплат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проактивно продлевать и пересчитывать ранее назначенные выплаты.</w:t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Дистанционное назначение пенсии через личный кабинет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2">
        <w:r>
          <w:rPr>
            <w:rStyle w:val="Style12"/>
            <w:sz w:val="28"/>
            <w:szCs w:val="28"/>
          </w:rPr>
          <w:t>es.pfrf.ru</w:t>
        </w:r>
      </w:hyperlink>
      <w:r>
        <w:rPr>
          <w:sz w:val="28"/>
          <w:szCs w:val="28"/>
        </w:rPr>
        <w:t xml:space="preserve"> и портале Госуслуг.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Наполнение лицевых счетов предпенсионеров сведениями о стаже и заработной плате, данными о нестраховых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>
      <w:pPr>
        <w:pStyle w:val="1"/>
        <w:spacing w:before="280" w:after="280"/>
        <w:jc w:val="both"/>
        <w:rPr>
          <w:rStyle w:val="Strong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2020-07-10T10:23:37Z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