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rFonts w:ascii="Times New Roman" w:hAnsi="Times New Roman"/>
          <w:b/>
          <w:bCs/>
          <w:szCs w:val="48"/>
        </w:rPr>
      </w:r>
    </w:p>
    <w:p>
      <w:pPr>
        <w:pStyle w:val="Normal"/>
        <w:spacing w:lineRule="auto" w:line="312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Способы обращения за назначением ЕДВ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Через личный кабинет на сайте ПФР </w:t>
      </w:r>
      <w:r>
        <w:rPr>
          <w:rFonts w:cs="Times New Roman" w:ascii="Times New Roman" w:hAnsi="Times New Roman"/>
          <w:sz w:val="28"/>
          <w:szCs w:val="28"/>
          <w:lang w:val="en-US"/>
        </w:rPr>
        <w:t>es.pfrf.ru</w:t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Чтобы зайти в личный кабинет на сайте ПФР, зарегистрируйтесь и получите подтвержденную учетную запись в Единой системе идентификации и аутентификации (ЕСИА) на портале государственных услуг</w:t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Если вы уже зарегистрированы на портале, для входа в личный кабинет на сайте ПФР используйте </w:t>
      </w:r>
      <w:r>
        <w:rPr>
          <w:rFonts w:cs="Times New Roman" w:ascii="Times New Roman" w:hAnsi="Times New Roman"/>
          <w:sz w:val="28"/>
          <w:szCs w:val="28"/>
          <w:lang w:val="ru-RU"/>
        </w:rPr>
        <w:t>ваши логин и пароль.</w:t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val="ru-RU"/>
        </w:rPr>
        <w:t>В территориальный орган Пенсионного фонда Российской Федерации по выбору гражданина лично, через представителя или по почте.</w:t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Через МФЦ, который принимает заявления о назначении ЕДВ лично, через представителя.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2021-08-09T10:57:00Z</dcterms:created>
  <dc:creator>044MatyushechkinaMS</dc:creator>
  <dc:language>ru-RU</dc:language>
  <dcterms:modified xsi:type="dcterms:W3CDTF">2021-08-16T14:19:01Z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