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bookmarkStart w:id="0" w:name="__DdeLink__16_488570429"/>
      <w:bookmarkEnd w:id="0"/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Перерасчет страховой пенсии с учетом нестраховых периодов.</w:t>
      </w:r>
    </w:p>
    <w:p>
      <w:pPr>
        <w:pStyle w:val="Normal"/>
        <w:spacing w:lineRule="auto" w:line="228"/>
        <w:ind w:left="0" w:right="0" w:firstLine="708"/>
        <w:jc w:val="both"/>
        <w:rPr>
          <w:rFonts w:ascii="Calibri" w:hAnsi="Calibri" w:cs="Calibri"/>
          <w:b/>
          <w:b/>
          <w:bCs/>
          <w:color w:val="000000"/>
          <w:sz w:val="30"/>
          <w:szCs w:val="30"/>
        </w:rPr>
      </w:pPr>
      <w:r>
        <w:rPr>
          <w:rFonts w:cs="Calibri" w:ascii="Calibri" w:hAnsi="Calibri"/>
          <w:b/>
          <w:bCs/>
          <w:color w:val="000000"/>
          <w:sz w:val="30"/>
          <w:szCs w:val="30"/>
        </w:rPr>
        <w:t xml:space="preserve">До 2015 года </w:t>
      </w:r>
      <w:r>
        <w:rPr>
          <w:rFonts w:cs="Calibri" w:ascii="Calibri" w:hAnsi="Calibri"/>
          <w:b/>
          <w:bCs/>
          <w:color w:val="000000"/>
          <w:sz w:val="30"/>
          <w:szCs w:val="30"/>
        </w:rPr>
        <w:t>нестраховые</w:t>
      </w:r>
      <w:r>
        <w:rPr>
          <w:rFonts w:cs="Calibri" w:ascii="Calibri" w:hAnsi="Calibri"/>
          <w:b/>
          <w:bCs/>
          <w:color w:val="000000"/>
          <w:sz w:val="30"/>
          <w:szCs w:val="30"/>
        </w:rPr>
        <w:t xml:space="preserve"> периоды  </w:t>
      </w:r>
      <w:r>
        <w:rPr>
          <w:rFonts w:cs="Calibri" w:ascii="Calibri" w:hAnsi="Calibri"/>
          <w:b/>
          <w:bCs/>
          <w:color w:val="000000"/>
          <w:sz w:val="30"/>
          <w:szCs w:val="30"/>
        </w:rPr>
        <w:t xml:space="preserve">учитывались </w:t>
      </w:r>
      <w:r>
        <w:rPr>
          <w:rFonts w:cs="Calibri" w:ascii="Calibri" w:hAnsi="Calibri"/>
          <w:b/>
          <w:bCs/>
          <w:color w:val="000000"/>
          <w:sz w:val="30"/>
          <w:szCs w:val="30"/>
        </w:rPr>
        <w:t>при назначении пенсии в соответствии с законодательством иначе — через оценку пенсионных прав или исходя из стоимости страхового года, либо, при совпадении их с работой — как страховые периоды.</w:t>
      </w:r>
    </w:p>
    <w:p>
      <w:pPr>
        <w:pStyle w:val="Normal"/>
        <w:spacing w:lineRule="auto" w:line="228"/>
        <w:ind w:left="0" w:right="0" w:firstLine="708"/>
        <w:jc w:val="both"/>
        <w:rPr>
          <w:rFonts w:ascii="Calibri" w:hAnsi="Calibri" w:cs="Calibri"/>
          <w:b/>
          <w:b/>
          <w:bCs/>
          <w:color w:val="000000"/>
          <w:sz w:val="30"/>
          <w:szCs w:val="30"/>
        </w:rPr>
      </w:pPr>
      <w:r>
        <w:rPr>
          <w:rFonts w:cs="Calibri" w:ascii="Calibri" w:hAnsi="Calibri"/>
          <w:b/>
          <w:bCs/>
          <w:color w:val="000000"/>
          <w:sz w:val="30"/>
          <w:szCs w:val="30"/>
        </w:rPr>
        <w:t>Сейчас в ряде случаев нестраховые периоды, например по уходу за детьми, дают таким пенсионерам больше пенсионных баллов, чем их учет в качестве периода работы.</w:t>
      </w:r>
    </w:p>
    <w:p>
      <w:pPr>
        <w:pStyle w:val="Normal"/>
        <w:spacing w:lineRule="auto" w:line="228"/>
        <w:ind w:left="0" w:right="0" w:firstLine="708"/>
        <w:jc w:val="both"/>
        <w:rPr>
          <w:rFonts w:ascii="Calibri" w:hAnsi="Calibri" w:cs="Calibri"/>
          <w:b/>
          <w:b/>
          <w:bCs/>
          <w:color w:val="000000"/>
          <w:sz w:val="30"/>
          <w:szCs w:val="30"/>
        </w:rPr>
      </w:pPr>
      <w:r>
        <w:rPr>
          <w:rFonts w:cs="Calibri" w:ascii="Calibri" w:hAnsi="Calibri"/>
          <w:b/>
          <w:bCs/>
          <w:color w:val="000000"/>
          <w:sz w:val="30"/>
          <w:szCs w:val="30"/>
        </w:rPr>
        <w:t>К НЕСТРАХОВЫМ ПЕРИОДАМ, ЗА КОТОРЫЕ ПРЕДУСМОТРЕНО НАЧИСЛЕНИЕ ПЕНСИОННЫХ БАЛЛОВ, ОТНОСЯТСЯ, В ТОМ ЧИСЛЕ:</w:t>
      </w:r>
    </w:p>
    <w:p>
      <w:pPr>
        <w:pStyle w:val="Normal"/>
        <w:spacing w:lineRule="auto" w:line="228"/>
        <w:ind w:left="0" w:right="0" w:firstLine="708"/>
        <w:jc w:val="both"/>
        <w:rPr>
          <w:rFonts w:ascii="Arial" w:hAnsi="Arial" w:cs="Calibri"/>
          <w:b/>
          <w:b/>
          <w:bCs/>
          <w:color w:val="000000"/>
          <w:sz w:val="24"/>
          <w:szCs w:val="24"/>
        </w:rPr>
      </w:pPr>
      <w:r>
        <w:rPr>
          <w:rFonts w:cs="Calibri" w:ascii="Arial" w:hAnsi="Arial"/>
          <w:b/>
          <w:bCs/>
          <w:color w:val="000000"/>
          <w:sz w:val="24"/>
          <w:szCs w:val="24"/>
        </w:rPr>
        <w:t>- уход одного из родителей за каждым ребенком до достижения им возраста 1,5 лет, но не более 6 лет в общей сложности;</w:t>
      </w:r>
    </w:p>
    <w:p>
      <w:pPr>
        <w:pStyle w:val="Normal"/>
        <w:spacing w:lineRule="auto" w:line="228"/>
        <w:ind w:left="0" w:right="0" w:firstLine="708"/>
        <w:jc w:val="both"/>
        <w:rPr>
          <w:rFonts w:ascii="Arial" w:hAnsi="Arial" w:cs="Calibri"/>
          <w:b/>
          <w:b/>
          <w:bCs/>
          <w:color w:val="000000"/>
          <w:sz w:val="24"/>
          <w:szCs w:val="24"/>
        </w:rPr>
      </w:pPr>
      <w:r>
        <w:rPr>
          <w:rFonts w:cs="Calibri" w:ascii="Arial" w:hAnsi="Arial"/>
          <w:b/>
          <w:bCs/>
          <w:color w:val="000000"/>
          <w:sz w:val="24"/>
          <w:szCs w:val="24"/>
        </w:rPr>
        <w:t>- прохождение военной службы по призыву;</w:t>
      </w:r>
    </w:p>
    <w:p>
      <w:pPr>
        <w:pStyle w:val="Normal"/>
        <w:numPr>
          <w:ilvl w:val="0"/>
          <w:numId w:val="0"/>
        </w:numPr>
        <w:spacing w:lineRule="auto" w:line="228" w:beforeAutospacing="1" w:afterAutospacing="1"/>
        <w:ind w:left="0" w:right="0" w:firstLine="708"/>
        <w:jc w:val="both"/>
        <w:outlineLvl w:val="0"/>
        <w:rPr>
          <w:rFonts w:ascii="Arial" w:hAnsi="Arial" w:cs="Calibri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- уход, осуществляемый трудоспособным лицом за инвалидом 1 группы, ребенком-инвалидом или за лицом, достигшим возраста 80 лет</w:t>
      </w:r>
    </w:p>
    <w:p>
      <w:pPr>
        <w:pStyle w:val="Normal"/>
        <w:numPr>
          <w:ilvl w:val="0"/>
          <w:numId w:val="0"/>
        </w:numPr>
        <w:spacing w:lineRule="auto" w:line="228" w:beforeAutospacing="1" w:afterAutospacing="1"/>
        <w:ind w:left="0" w:right="0" w:firstLine="708"/>
        <w:jc w:val="both"/>
        <w:outlineLvl w:val="0"/>
        <w:rPr>
          <w:rFonts w:ascii="Calibri" w:hAnsi="Calibri" w:cs="Calibri"/>
          <w:b/>
          <w:b/>
          <w:bCs/>
          <w:color w:val="003F9A"/>
          <w:sz w:val="30"/>
          <w:szCs w:val="30"/>
        </w:rPr>
      </w:pPr>
      <w:r>
        <w:rPr>
          <w:rFonts w:eastAsia="Times New Roman" w:cs="Calibri" w:ascii="Calibri" w:hAnsi="Calibri"/>
          <w:b/>
          <w:bCs/>
          <w:color w:val="000000"/>
          <w:sz w:val="28"/>
          <w:szCs w:val="28"/>
          <w:lang w:eastAsia="ru-RU"/>
        </w:rPr>
        <w:t xml:space="preserve">Полный перечень нестраховых периодов смотрите на стайте </w:t>
      </w:r>
      <w:hyperlink r:id="rId2">
        <w:r>
          <w:rPr>
            <w:rStyle w:val="Style13"/>
            <w:rFonts w:eastAsia="Times New Roman" w:cs="Calibri" w:ascii="Calibri" w:hAnsi="Calibri"/>
            <w:b/>
            <w:bCs/>
            <w:color w:val="000000"/>
            <w:sz w:val="28"/>
            <w:szCs w:val="28"/>
            <w:lang w:val="en-US" w:eastAsia="ru-RU"/>
          </w:rPr>
          <w:t>www.pfr.gov.ru</w:t>
        </w:r>
      </w:hyperlink>
    </w:p>
    <w:p>
      <w:pPr>
        <w:pStyle w:val="Normal"/>
        <w:numPr>
          <w:ilvl w:val="0"/>
          <w:numId w:val="0"/>
        </w:numPr>
        <w:spacing w:lineRule="auto" w:line="228" w:beforeAutospacing="1" w:afterAutospacing="1"/>
        <w:ind w:left="0" w:right="0" w:firstLine="708"/>
        <w:jc w:val="both"/>
        <w:outlineLvl w:val="0"/>
        <w:rPr>
          <w:rFonts w:ascii="Calibri" w:hAnsi="Calibri" w:cs="Calibri"/>
          <w:b/>
          <w:b/>
          <w:bCs/>
          <w:color w:val="003F9A"/>
          <w:sz w:val="30"/>
          <w:szCs w:val="30"/>
          <w:lang w:val="ru-RU"/>
        </w:rPr>
      </w:pPr>
      <w:r>
        <w:rPr>
          <w:rStyle w:val="Style13"/>
          <w:rFonts w:eastAsia="Times New Roman" w:cs="Calibri" w:ascii="Calibri" w:hAnsi="Calibri"/>
          <w:b w:val="false"/>
          <w:bCs w:val="false"/>
          <w:color w:val="000000"/>
          <w:sz w:val="30"/>
          <w:szCs w:val="30"/>
          <w:u w:val="none"/>
          <w:lang w:val="ru-RU" w:eastAsia="ru-RU"/>
        </w:rPr>
        <w:t>Если в результате перерасчета пенсии в соответствии с имеющимися нестраховыми периодами ее размер уменьшается, перерасчет не производится.</w:t>
      </w:r>
    </w:p>
    <w:p>
      <w:pPr>
        <w:pStyle w:val="Normal"/>
        <w:spacing w:lineRule="auto" w:line="228" w:before="0" w:after="200"/>
        <w:ind w:left="0" w:right="0" w:firstLine="708"/>
        <w:jc w:val="both"/>
        <w:rPr>
          <w:rStyle w:val="Style13"/>
          <w:rFonts w:eastAsia="Times New Roman"/>
          <w:color w:val="000000"/>
          <w:lang w:eastAsia="ru-RU"/>
        </w:rPr>
      </w:pPr>
      <w:r>
        <w:rPr>
          <w:rFonts w:cs="Calibri" w:ascii="Calibri" w:hAnsi="Calibri"/>
          <w:b/>
          <w:bCs/>
          <w:color w:val="003F9A"/>
          <w:sz w:val="30"/>
          <w:szCs w:val="30"/>
          <w:highlight w:val="lightGray"/>
          <w:lang w:val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character" w:styleId="Style13">
    <w:name w:val="Интернет-ссылка"/>
    <w:basedOn w:val="DefaultParagraphFont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LibreOffice/5.0.3.2$Windows_x86 LibreOffice_project/e5f16313668ac592c1bfb310f4390624e3dbfb75</Application>
  <Paragraphs>9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2021-03-16T15:04:07Z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