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95" w:rsidRDefault="00B25D95" w:rsidP="00B25D95">
      <w:pPr>
        <w:pStyle w:val="a6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B25D95" w:rsidRDefault="00B25D95" w:rsidP="00B25D95">
      <w:pPr>
        <w:pStyle w:val="a6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B25D95" w:rsidRDefault="00B25D95" w:rsidP="00B25D95">
      <w:pPr>
        <w:pStyle w:val="a6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B25D95" w:rsidRDefault="00B25D95" w:rsidP="00B25D95">
      <w:pPr>
        <w:pStyle w:val="a8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B25D95" w:rsidRDefault="00B25D95" w:rsidP="00B25D95">
      <w:pPr>
        <w:pStyle w:val="a8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B25D95" w:rsidRDefault="00973496" w:rsidP="00B25D95">
      <w:pPr>
        <w:pStyle w:val="a8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B25D95" w:rsidRDefault="00B25D95" w:rsidP="00B25D95">
      <w:pPr>
        <w:pStyle w:val="a8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6" w:history="1">
        <w:r>
          <w:rPr>
            <w:rStyle w:val="a4"/>
            <w:b/>
            <w:bCs/>
            <w:lang w:val="en-US"/>
          </w:rPr>
          <w:t>pfr</w:t>
        </w:r>
        <w:r>
          <w:rPr>
            <w:rStyle w:val="a4"/>
            <w:b/>
            <w:bCs/>
          </w:rPr>
          <w:t>.</w:t>
        </w:r>
        <w:r>
          <w:rPr>
            <w:rStyle w:val="a4"/>
            <w:b/>
            <w:bCs/>
            <w:lang w:val="en-US"/>
          </w:rPr>
          <w:t>gov</w:t>
        </w:r>
        <w:r>
          <w:rPr>
            <w:rStyle w:val="a4"/>
            <w:b/>
            <w:bCs/>
          </w:rPr>
          <w:t>.</w:t>
        </w:r>
        <w:r>
          <w:rPr>
            <w:rStyle w:val="a4"/>
            <w:b/>
            <w:bCs/>
            <w:lang w:val="en-US"/>
          </w:rPr>
          <w:t>ru</w:t>
        </w:r>
      </w:hyperlink>
    </w:p>
    <w:p w:rsidR="00B25D95" w:rsidRDefault="00B25D95" w:rsidP="00B25D95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  <w:lang w:eastAsia="ru-RU"/>
        </w:rPr>
      </w:pPr>
      <w:r>
        <w:rPr>
          <w:rFonts w:ascii="Times New Roman" w:hAnsi="Times New Roman"/>
          <w:b/>
          <w:bCs/>
          <w:kern w:val="36"/>
          <w:szCs w:val="48"/>
          <w:lang w:eastAsia="ru-RU"/>
        </w:rPr>
        <w:t>16 августа 2022 года</w:t>
      </w:r>
    </w:p>
    <w:p w:rsidR="005B2FCA" w:rsidRDefault="005B2FCA" w:rsidP="00B25D95">
      <w:pPr>
        <w:pStyle w:val="a3"/>
        <w:jc w:val="both"/>
      </w:pPr>
      <w:r w:rsidRPr="00A33188">
        <w:rPr>
          <w:b/>
          <w:sz w:val="28"/>
          <w:szCs w:val="28"/>
        </w:rPr>
        <w:t>Почти 75 тысяч волгоградцев выбрали электронную трудовую  книжку</w:t>
      </w:r>
      <w:r w:rsidRPr="00A33188">
        <w:rPr>
          <w:b/>
          <w:sz w:val="28"/>
          <w:szCs w:val="28"/>
        </w:rPr>
        <w:br/>
      </w:r>
      <w:r w:rsidRPr="00A33188">
        <w:rPr>
          <w:b/>
          <w:sz w:val="28"/>
          <w:szCs w:val="28"/>
        </w:rPr>
        <w:br/>
      </w:r>
      <w:r>
        <w:t xml:space="preserve">В Волгоградской области </w:t>
      </w:r>
      <w:r w:rsidR="00CD74EA">
        <w:t xml:space="preserve">74 700 </w:t>
      </w:r>
      <w:r>
        <w:t>человек предпочли бумажным трудовым книжкам электронные.</w:t>
      </w:r>
      <w:r w:rsidR="00CD74EA">
        <w:t xml:space="preserve"> </w:t>
      </w:r>
      <w:r w:rsidR="00C56C83">
        <w:t>Возможность с</w:t>
      </w:r>
      <w:r w:rsidR="00CD74EA">
        <w:t xml:space="preserve">менить способ учета трудовой деятельности с традиционного на современный </w:t>
      </w:r>
      <w:r w:rsidR="00C56C83">
        <w:t xml:space="preserve">есть у </w:t>
      </w:r>
      <w:r w:rsidR="00CD74EA">
        <w:t>все</w:t>
      </w:r>
      <w:r w:rsidR="00C56C83">
        <w:t>х</w:t>
      </w:r>
      <w:r w:rsidR="00CD74EA">
        <w:t xml:space="preserve"> трудоустроенны</w:t>
      </w:r>
      <w:r w:rsidR="00C56C83">
        <w:t>х</w:t>
      </w:r>
      <w:r w:rsidR="00CD74EA">
        <w:t xml:space="preserve"> граждан. Для этого необходимо лишь подать заявление работодателю.</w:t>
      </w:r>
    </w:p>
    <w:p w:rsidR="00A33188" w:rsidRDefault="005B2FCA" w:rsidP="00A33188">
      <w:pPr>
        <w:pStyle w:val="a3"/>
        <w:jc w:val="both"/>
      </w:pPr>
      <w:r w:rsidRPr="00A10F5A">
        <w:t>Электронная книжка обеспечивает постоянный, быстрый и удобный доступ граждан к информации о своей трудовой деятельности.</w:t>
      </w:r>
      <w:r>
        <w:t xml:space="preserve"> Ее можно распечатать, сохранить на компьютер или карту памяти, отправить по электронной почте. Молодежи, только начинающей трудовой путь сразу оформляются только электронные трудовые книжки. Электронный формат помогает упростить дистанционное трудоустройство. Работодателям - снизить издержки на ведение бумажных книжек, анализировать данные о трудовой деятельности.</w:t>
      </w:r>
    </w:p>
    <w:p w:rsidR="005B2FCA" w:rsidRDefault="005B2FCA" w:rsidP="00A33188">
      <w:pPr>
        <w:pStyle w:val="a3"/>
        <w:jc w:val="both"/>
      </w:pPr>
      <w:r>
        <w:t xml:space="preserve">Минимизация ошибок и некорректных данных в электронных трудовых </w:t>
      </w:r>
      <w:r w:rsidR="00251D52">
        <w:t xml:space="preserve">книжках </w:t>
      </w:r>
      <w:r>
        <w:t>позволяет дистанционно оформлять пенсии по данным индивидуального лицевого счета в ПФР без предоставления гражданином дополнительного пакета документов.</w:t>
      </w:r>
    </w:p>
    <w:p w:rsidR="005B2FCA" w:rsidRDefault="005B2FCA" w:rsidP="00A33188">
      <w:pPr>
        <w:pStyle w:val="a3"/>
        <w:jc w:val="both"/>
      </w:pPr>
      <w:r>
        <w:t>Отметим, что сведения о трудовой деятельности граждан в электронном виде надежно защищены. Информационная система Пенсионного фонда России аттестована в соответствии с действующим российским законодательством в области защиты персональных данных. База данных ПФР обеспечена многоуровневым ежедневным копированием данных лицевых счетов граждан.</w:t>
      </w:r>
    </w:p>
    <w:p w:rsidR="005B2FCA" w:rsidRPr="005B2FCA" w:rsidRDefault="005B2FCA" w:rsidP="00A331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B2FCA" w:rsidRPr="005B2FCA" w:rsidSect="003F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F"/>
    <w:rsid w:val="00047DFD"/>
    <w:rsid w:val="00150B8D"/>
    <w:rsid w:val="00251D52"/>
    <w:rsid w:val="003F0E7A"/>
    <w:rsid w:val="005B2FCA"/>
    <w:rsid w:val="00973496"/>
    <w:rsid w:val="009F5ACF"/>
    <w:rsid w:val="00A019DB"/>
    <w:rsid w:val="00A33188"/>
    <w:rsid w:val="00B25D95"/>
    <w:rsid w:val="00B718B7"/>
    <w:rsid w:val="00C56C83"/>
    <w:rsid w:val="00CD74EA"/>
    <w:rsid w:val="00F4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ACF"/>
    <w:rPr>
      <w:color w:val="0000FF"/>
      <w:u w:val="single"/>
    </w:rPr>
  </w:style>
  <w:style w:type="paragraph" w:styleId="a5">
    <w:name w:val="No Spacing"/>
    <w:uiPriority w:val="1"/>
    <w:qFormat/>
    <w:rsid w:val="005B2FCA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B25D9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B25D9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8">
    <w:name w:val="Body Text Indent"/>
    <w:basedOn w:val="a"/>
    <w:link w:val="a9"/>
    <w:uiPriority w:val="99"/>
    <w:semiHidden/>
    <w:unhideWhenUsed/>
    <w:rsid w:val="00B25D95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5D95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5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5ACF"/>
    <w:rPr>
      <w:color w:val="0000FF"/>
      <w:u w:val="single"/>
    </w:rPr>
  </w:style>
  <w:style w:type="paragraph" w:styleId="a5">
    <w:name w:val="No Spacing"/>
    <w:uiPriority w:val="1"/>
    <w:qFormat/>
    <w:rsid w:val="005B2FCA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B25D9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B25D9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8">
    <w:name w:val="Body Text Indent"/>
    <w:basedOn w:val="a"/>
    <w:link w:val="a9"/>
    <w:uiPriority w:val="99"/>
    <w:semiHidden/>
    <w:unhideWhenUsed/>
    <w:rsid w:val="00B25D95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25D95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2022-08-16T07:06:00Z</dcterms:created>
  <dcterms:modified xsi:type="dcterms:W3CDTF">2022-08-16T07:06:00Z</dcterms:modified>
</cp:coreProperties>
</file>