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Web"/>
        <w:spacing w:before="280" w:after="280"/>
        <w:jc w:val="center"/>
        <w:rPr>
          <w:rStyle w:val="Strong"/>
          <w:sz w:val="26"/>
          <w:szCs w:val="26"/>
        </w:rPr>
      </w:pPr>
      <w:r>
        <w:rPr>
          <w:rStyle w:val="Strong"/>
          <w:sz w:val="26"/>
          <w:szCs w:val="26"/>
        </w:rPr>
        <w:t xml:space="preserve">Вопросы в сфере земли и недвижимости обсудили </w:t>
        <w:br/>
        <w:t xml:space="preserve">с заместителем руководителем Волгоградского Росреестра </w:t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Сегодня Росреестр активно участвует в реализации масштабных государственных проектов. </w:t>
      </w:r>
      <w:r>
        <w:rPr>
          <w:i/>
          <w:sz w:val="26"/>
          <w:szCs w:val="26"/>
        </w:rPr>
        <w:t>На каких направлениях сейчас сосредоточена основная работа регионального Управления?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Дмитрий Бабайцев:</w:t>
      </w:r>
      <w:r>
        <w:rPr>
          <w:sz w:val="26"/>
          <w:szCs w:val="26"/>
        </w:rPr>
        <w:t xml:space="preserve"> Одним из ключевых направлений остается повышение качества сведений Единого государственного реестра недвижимости. От полноты и достоверности данных ЕГРН зависит эффективность управления территориями, развитие инвестиционных проектов, качество предоставления государственных услуг и защита имущественных прав граждан. Поэтому мы системно работаем над наполнением реестра актуальными сведениями и устранением имеющихся неточностей.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  <w:t>Какие результаты этой работы можно отметить сегодня?</w:t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Дмитрий Бабайцев:</w:t>
      </w:r>
      <w:r>
        <w:rPr>
          <w:sz w:val="26"/>
          <w:szCs w:val="26"/>
        </w:rPr>
        <w:t xml:space="preserve"> В рамках реализации законодательства по выявлению правообладателей ранее учтенных объектов недвижимости на территории Волгоградской области зарегистрированы права более чем на </w:t>
      </w:r>
      <w:r>
        <w:rPr>
          <w:rStyle w:val="Strong"/>
          <w:sz w:val="26"/>
          <w:szCs w:val="26"/>
        </w:rPr>
        <w:t>36 тысяч объектов недвижимости</w:t>
      </w:r>
      <w:r>
        <w:rPr>
          <w:sz w:val="26"/>
          <w:szCs w:val="26"/>
        </w:rPr>
        <w:t xml:space="preserve">. Кроме того, значительная работа проведена по исправлению реестровых ошибок. Только за последний период исправлены сведения в отношении </w:t>
      </w:r>
      <w:r>
        <w:rPr>
          <w:rStyle w:val="Strong"/>
          <w:sz w:val="26"/>
          <w:szCs w:val="26"/>
        </w:rPr>
        <w:t>6 683 объектов недвижимости</w:t>
      </w:r>
      <w:r>
        <w:rPr>
          <w:sz w:val="26"/>
          <w:szCs w:val="26"/>
        </w:rPr>
        <w:t xml:space="preserve">, что позволило существенно повысить точность данных ЕГРН. 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Отдельно отмечу высокий уровень качества информации, содержащейся в реестре. По результатам взаимодействия с налоговыми органами показатель корректности передаваемых сведений достиг </w:t>
      </w:r>
      <w:r>
        <w:rPr>
          <w:rStyle w:val="Strong"/>
          <w:sz w:val="26"/>
          <w:szCs w:val="26"/>
        </w:rPr>
        <w:t>99,99%</w:t>
      </w:r>
      <w:r>
        <w:rPr>
          <w:sz w:val="26"/>
          <w:szCs w:val="26"/>
        </w:rPr>
        <w:t>, что является очень высоким результатом.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  <w:t>Насколько востребованы сегодня электронные сервисы Росреестра?</w:t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Дмитрий Бабайцев:</w:t>
      </w:r>
      <w:r>
        <w:rPr>
          <w:sz w:val="26"/>
          <w:szCs w:val="26"/>
        </w:rPr>
        <w:t xml:space="preserve"> С каждым годом востребованность электронных услуг растет. Сегодня практически две трети обращений поступают в электронном виде. Доля электронных заявлений на кадастровый учет и регистрацию прав составляет </w:t>
      </w:r>
      <w:r>
        <w:rPr>
          <w:rStyle w:val="Strong"/>
          <w:sz w:val="26"/>
          <w:szCs w:val="26"/>
        </w:rPr>
        <w:t>62,6%</w:t>
      </w:r>
      <w:r>
        <w:rPr>
          <w:sz w:val="26"/>
          <w:szCs w:val="26"/>
        </w:rPr>
        <w:t xml:space="preserve">. Особенно активно цифровые технологии используются в сфере ипотечного кредитования и долевого строительства. Так, </w:t>
      </w:r>
      <w:r>
        <w:rPr>
          <w:rStyle w:val="Strong"/>
          <w:sz w:val="26"/>
          <w:szCs w:val="26"/>
        </w:rPr>
        <w:t>90% заявлений на регистрацию ипотеки</w:t>
      </w:r>
      <w:r>
        <w:rPr>
          <w:sz w:val="26"/>
          <w:szCs w:val="26"/>
        </w:rPr>
        <w:t xml:space="preserve"> подаются в электронном формате, а регистрация договоров участия в долевом строительстве фактически полностью перешла в цифровую среду — этот показатель достиг </w:t>
      </w:r>
      <w:r>
        <w:rPr>
          <w:rStyle w:val="Strong"/>
          <w:sz w:val="26"/>
          <w:szCs w:val="26"/>
        </w:rPr>
        <w:t>100%</w:t>
      </w:r>
      <w:r>
        <w:rPr>
          <w:sz w:val="26"/>
          <w:szCs w:val="26"/>
        </w:rPr>
        <w:t>. Такие результаты стали возможны благодаря развитию электронных сервисов Росреестра и тесному взаимодействию с профессиональными участниками рынка недвижимости.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sz w:val="26"/>
          <w:szCs w:val="26"/>
        </w:rPr>
        <w:t xml:space="preserve">Одним из главных критериев качества государственных услуг остаются сроки их предоставления. </w:t>
      </w:r>
      <w:r>
        <w:rPr>
          <w:i/>
          <w:sz w:val="26"/>
          <w:szCs w:val="26"/>
        </w:rPr>
        <w:t>Как сегодня обстоят дела в этой сфере?</w:t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Дмитрий Бабайцев:</w:t>
      </w:r>
      <w:r>
        <w:rPr>
          <w:sz w:val="26"/>
          <w:szCs w:val="26"/>
        </w:rPr>
        <w:t xml:space="preserve"> Мы уделяем этому вопросу особое внимание. В настоящее время государственный кадастровый учет в среднем осуществляется за </w:t>
      </w:r>
      <w:r>
        <w:rPr>
          <w:rStyle w:val="Strong"/>
          <w:sz w:val="26"/>
          <w:szCs w:val="26"/>
        </w:rPr>
        <w:t>1,6 рабочего дня</w:t>
      </w:r>
      <w:r>
        <w:rPr>
          <w:sz w:val="26"/>
          <w:szCs w:val="26"/>
        </w:rPr>
        <w:t xml:space="preserve">, государственная регистрация прав — за </w:t>
      </w:r>
      <w:r>
        <w:rPr>
          <w:rStyle w:val="Strong"/>
          <w:sz w:val="26"/>
          <w:szCs w:val="26"/>
        </w:rPr>
        <w:t>1,7 рабочего дня</w:t>
      </w:r>
      <w:r>
        <w:rPr>
          <w:sz w:val="26"/>
          <w:szCs w:val="26"/>
        </w:rPr>
        <w:t>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</w:t>
      </w:r>
      <w:r>
        <w:rPr>
          <w:rStyle w:val="Strong"/>
          <w:sz w:val="26"/>
          <w:szCs w:val="26"/>
        </w:rPr>
        <w:t>98,1% ипотечных сделок регистрируются менее чем за 24 часа</w:t>
      </w:r>
      <w:r>
        <w:rPr>
          <w:sz w:val="26"/>
          <w:szCs w:val="26"/>
        </w:rPr>
        <w:t>, что позволяет гражданам и кредитным организациям значительно экономить время при оформлении недвижимости.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  <w:t>Сокращение количества приостановлений также является важным показателем работы. Какие меры позволяют достигать положительных результатов?</w:t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Дмитрий Бабайцев:</w:t>
      </w:r>
      <w:r>
        <w:rPr>
          <w:sz w:val="26"/>
          <w:szCs w:val="26"/>
        </w:rPr>
        <w:t xml:space="preserve"> Мы придерживаемся принципа открытого диалога со всеми участниками рынка недвижимости. Регулярно проводим встречи с кадастровыми инженерами, представителями МФЦ, застройщиками, кредитными организациями и крупными правообладателями.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Особое внимание уделяется профилактической работе и разбору типичных ошибок, которые могут привести к приостановлению учетно-регистрационных действий. Благодаря этому доля решений о приостановлении остается ниже установленных федеральных показателей. Например, по государственной регистрации прав она составляет </w:t>
      </w:r>
      <w:r>
        <w:rPr>
          <w:rStyle w:val="Strong"/>
          <w:sz w:val="26"/>
          <w:szCs w:val="26"/>
        </w:rPr>
        <w:t>1,4%</w:t>
      </w:r>
      <w:r>
        <w:rPr>
          <w:sz w:val="26"/>
          <w:szCs w:val="26"/>
        </w:rPr>
        <w:t xml:space="preserve">, а по объектам бытовой недвижимости — всего </w:t>
      </w:r>
      <w:r>
        <w:rPr>
          <w:rStyle w:val="Strong"/>
          <w:sz w:val="26"/>
          <w:szCs w:val="26"/>
        </w:rPr>
        <w:t>0,27%</w:t>
      </w:r>
      <w:r>
        <w:rPr>
          <w:sz w:val="26"/>
          <w:szCs w:val="26"/>
        </w:rPr>
        <w:t>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  <w:t>Как сами жители региона оценивают качество предоставляемых услуг?</w:t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Дмитрий Бабайцев:</w:t>
      </w:r>
      <w:r>
        <w:rPr>
          <w:sz w:val="26"/>
          <w:szCs w:val="26"/>
        </w:rPr>
        <w:t xml:space="preserve"> Для нас это один из важнейших показателей эффективности. По итогам оценки качества государственных услуг индекс удовлетворенности граждан составил </w:t>
      </w:r>
      <w:r>
        <w:rPr>
          <w:rStyle w:val="Strong"/>
          <w:sz w:val="26"/>
          <w:szCs w:val="26"/>
        </w:rPr>
        <w:t>99,96%</w:t>
      </w:r>
      <w:r>
        <w:rPr>
          <w:sz w:val="26"/>
          <w:szCs w:val="26"/>
        </w:rPr>
        <w:t>. Это говорит о высоком уровне доверия жителей региона и подтверждает правильность выбранного курса на цифровизацию, повышение качества данных и совершенствование учетно-регистрационных процессов.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  <w:t>Какие направления работы останутся в числе приоритетных в ближайшей перспективе?</w:t>
      </w:r>
    </w:p>
    <w:p>
      <w:pPr>
        <w:pStyle w:val="NormalWeb"/>
        <w:spacing w:beforeAutospacing="0" w:before="0" w:afterAutospacing="0" w:after="0"/>
        <w:ind w:firstLine="709"/>
        <w:jc w:val="both"/>
        <w:rPr>
          <w:i/>
          <w:i/>
          <w:sz w:val="26"/>
          <w:szCs w:val="26"/>
        </w:rPr>
      </w:pPr>
      <w:r>
        <w:rPr>
          <w:i/>
          <w:sz w:val="26"/>
          <w:szCs w:val="26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Дмитрий Бабайцев:</w:t>
      </w:r>
      <w:r>
        <w:rPr>
          <w:sz w:val="26"/>
          <w:szCs w:val="26"/>
        </w:rPr>
        <w:t xml:space="preserve"> В центре внимания по-прежнему будет повышение качества сведений ЕГРН, исправление реестровых ошибок, проведение комплексных кадастровых работ и дальнейшее развитие электронных сервисов. Мы продолжим работу по сокращению сроков предоставления услуг, снижению количества приостановлений и повышению удобства взаимодействия граждан с Росреестром. Наша главная цель – это обеспечить максимально качественные, быстрые и доступные государственные услуги в сфере недвижимости для жителей Волгоградской области.</w:t>
      </w:r>
      <w:bookmarkEnd w:id="0"/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cs="Times New Roman" w:ascii="Times New Roman" w:hAnsi="Times New Roman"/>
          <w:sz w:val="26"/>
          <w:szCs w:val="26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6"/>
          <w:szCs w:val="26"/>
          <w:u w:val="single"/>
          <w:lang w:val="en-US"/>
        </w:rPr>
      </w:pPr>
      <w:r>
        <w:rPr>
          <w:rFonts w:cs="Times New Roman" w:ascii="Times New Roman" w:hAnsi="Times New Roman"/>
          <w:sz w:val="26"/>
          <w:szCs w:val="26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6"/>
            <w:szCs w:val="26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A39A3-63AC-45EE-B95C-FA7447FA9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Application>LibreOffice/25.2.6.2$Linux_X86_64 LibreOffice_project/520$Build-2</Application>
  <AppVersion>15.0000</AppVersion>
  <Pages>2</Pages>
  <Words>545</Words>
  <Characters>4143</Characters>
  <CharactersWithSpaces>4672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2026-06-30T15:17:00Z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