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pBdr/>
        <w:spacing w:lineRule="auto" w:line="240" w:before="0" w:after="0"/>
        <w:ind w:right="119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Волгоградский Росреестр ответил на актуальные вопросы жителей региона</w:t>
      </w:r>
    </w:p>
    <w:p>
      <w:pPr>
        <w:pStyle w:val="Normal"/>
        <w:pBdr/>
        <w:spacing w:lineRule="auto" w:line="240" w:before="0" w:after="0"/>
        <w:ind w:right="119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cs="Times New Roman" w:ascii="Times New Roman" w:hAnsi="Times New Roman"/>
          <w:sz w:val="28"/>
          <w:szCs w:val="28"/>
        </w:rPr>
        <w:t xml:space="preserve">Сегодня в формате «Вопрос-ответ» Управление Росреестра </w:t>
        <w:br/>
        <w:t>по Волгоградской области ответит на актуальные вопросы жителей Волгоградской области.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nos" w:hAnsi="Tinos" w:cs="Tinos"/>
          <w:b/>
          <w:i/>
          <w:i/>
          <w:color w:val="000000"/>
          <w:sz w:val="28"/>
          <w:szCs w:val="28"/>
          <w:lang w:eastAsia="ru-RU"/>
        </w:rPr>
      </w:pPr>
      <w:r>
        <w:rPr>
          <w:rFonts w:cs="Tinos" w:ascii="Tinos" w:hAnsi="Tinos"/>
          <w:b/>
          <w:bCs/>
          <w:color w:val="000000"/>
          <w:sz w:val="28"/>
          <w:szCs w:val="28"/>
          <w:lang w:eastAsia="ru-RU"/>
        </w:rPr>
        <w:t>1. Вопрос</w:t>
      </w:r>
      <w:r>
        <w:rPr>
          <w:rFonts w:cs="Tinos" w:ascii="Tinos" w:hAnsi="Tinos"/>
          <w:bCs/>
          <w:color w:val="000000"/>
          <w:sz w:val="28"/>
          <w:szCs w:val="28"/>
          <w:lang w:eastAsia="ru-RU"/>
        </w:rPr>
        <w:t>:</w:t>
      </w:r>
      <w:r>
        <w:rPr>
          <w:rFonts w:cs="Tinos" w:ascii="Tinos" w:hAnsi="Tinos"/>
          <w:bCs/>
          <w:i/>
          <w:color w:val="000000"/>
          <w:sz w:val="28"/>
          <w:szCs w:val="28"/>
          <w:lang w:eastAsia="ru-RU"/>
        </w:rPr>
        <w:t xml:space="preserve"> </w:t>
      </w:r>
      <w:r>
        <w:rPr>
          <w:rFonts w:cs="Tinos" w:ascii="Tinos" w:hAnsi="Tinos"/>
          <w:b/>
          <w:i/>
          <w:color w:val="000000"/>
          <w:sz w:val="28"/>
          <w:szCs w:val="28"/>
          <w:lang w:eastAsia="ru-RU"/>
        </w:rPr>
        <w:t>В какой срок должна быть оплачена государственная пошлина за государственную регистрацию права собственности в случае подачи документов в электронном виде?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Style w:val="Strong"/>
          <w:rFonts w:ascii="Tinos" w:hAnsi="Tinos" w:cs="Tinos"/>
          <w:b w:val="false"/>
          <w:color w:val="000000"/>
          <w:sz w:val="28"/>
          <w:szCs w:val="28"/>
        </w:rPr>
      </w:pPr>
      <w:r>
        <w:rPr>
          <w:rFonts w:cs="Tinos" w:ascii="Tinos" w:hAnsi="Tinos"/>
          <w:b/>
          <w:color w:val="000000"/>
          <w:sz w:val="28"/>
          <w:szCs w:val="28"/>
        </w:rPr>
        <w:t>Ответ</w:t>
      </w:r>
      <w:r>
        <w:rPr>
          <w:rFonts w:cs="Tinos" w:ascii="Tinos" w:hAnsi="Tinos"/>
          <w:color w:val="000000"/>
          <w:sz w:val="28"/>
          <w:szCs w:val="28"/>
        </w:rPr>
        <w:t xml:space="preserve">: </w:t>
      </w:r>
      <w:r>
        <w:rPr>
          <w:rStyle w:val="Strong"/>
          <w:rFonts w:cs="Tinos" w:ascii="Tinos" w:hAnsi="Tinos"/>
          <w:b w:val="false"/>
          <w:color w:val="000000"/>
          <w:sz w:val="28"/>
          <w:szCs w:val="28"/>
        </w:rPr>
        <w:t xml:space="preserve">Если подаёте заявление в электронной форме </w:t>
      </w:r>
      <w:r>
        <w:rPr>
          <w:rFonts w:cs="Tinos" w:ascii="Tinos" w:hAnsi="Tinos"/>
          <w:color w:val="000000"/>
          <w:sz w:val="28"/>
          <w:szCs w:val="28"/>
        </w:rPr>
        <w:t>(через сайт Росреестра, «Госуслуги» или другой электронный сервис) - оплатить можно</w:t>
      </w:r>
      <w:r>
        <w:rPr>
          <w:rFonts w:cs="Tinos" w:ascii="Tinos" w:hAnsi="Tinos"/>
          <w:b/>
          <w:color w:val="000000"/>
          <w:sz w:val="28"/>
          <w:szCs w:val="28"/>
        </w:rPr>
        <w:t xml:space="preserve"> </w:t>
      </w:r>
      <w:r>
        <w:rPr>
          <w:rStyle w:val="Strong"/>
          <w:rFonts w:cs="Tinos" w:ascii="Tinos" w:hAnsi="Tinos"/>
          <w:b w:val="false"/>
          <w:color w:val="000000"/>
          <w:sz w:val="28"/>
          <w:szCs w:val="28"/>
        </w:rPr>
        <w:t>после подачи заявления, но обязательно до того, как орган регистрации прав примет его к рассмотрению, а именно: не позднее пяти рабочих дней с даты подачи соответствующего заявления.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cs="Tinos" w:ascii="Tinos" w:hAnsi="Tinos"/>
          <w:color w:val="000000"/>
          <w:sz w:val="28"/>
          <w:szCs w:val="28"/>
        </w:rPr>
        <w:t>Если на момент представления заявления о государственном кадастровом учете и (или) государственной регистрации прав и прилагаемых к нему документов в Государственной информационной системе о государственных и муниципальных платежах отсутствует информация об уплате государственной пошлины за осуществление государственной регистрации прав и документ о ее уплате не представлен вместе с указанным заявлением, исчисление предусмотренного частью 1 статьи 16 Федерального закона от 13.07.2015 № 218-ФЗ «О государственной регистрации недвижимости» срока начинается с даты получения органом регистрации прав сведений о такой уплате.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nos" w:hAnsi="Tinos" w:cs="Tinos"/>
          <w:b/>
          <w:i/>
          <w:i/>
          <w:color w:val="000000"/>
          <w:sz w:val="28"/>
          <w:szCs w:val="28"/>
          <w:lang w:eastAsia="ru-RU"/>
        </w:rPr>
      </w:pPr>
      <w:r>
        <w:rPr>
          <w:rFonts w:cs="Tinos" w:ascii="Tinos" w:hAnsi="Tinos"/>
          <w:color w:val="000000"/>
          <w:sz w:val="28"/>
          <w:szCs w:val="28"/>
        </w:rPr>
        <w:t>Заявление о государственном кадастровом учете и (или) государственной регистрации прав и документы, прилагаемые к нему, возвращаются без рассмотрения, если информация об уплате государственной пошлины за осуществление государственной регистрации прав по истечении пяти рабочих дней с даты подачи соответствующего заявления отсутствует в ГИС ГМП и документ об уплате государственной пошлины не был представлен заявителем (п.3 ст.25 Закона №218-ФЗ).</w:t>
      </w:r>
    </w:p>
    <w:p>
      <w:pPr>
        <w:pStyle w:val="BodyText"/>
        <w:pBdr/>
        <w:spacing w:lineRule="auto" w:line="240" w:before="0" w:after="0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cs="Tinos" w:ascii="Tinos" w:hAnsi="Tinos"/>
          <w:color w:val="000000"/>
          <w:sz w:val="28"/>
          <w:szCs w:val="28"/>
        </w:rPr>
      </w:r>
    </w:p>
    <w:p>
      <w:pPr>
        <w:pStyle w:val="Normal"/>
        <w:shd w:val="clear" w:color="FFFFFF" w:themeColor="background1" w:fill="FFFFFF" w:themeFill="background1"/>
        <w:spacing w:before="0" w:after="0"/>
        <w:ind w:firstLine="567"/>
        <w:contextualSpacing/>
        <w:jc w:val="both"/>
        <w:rPr>
          <w:rFonts w:ascii="Tinos" w:hAnsi="Tinos" w:cs="Tinos"/>
          <w:b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shd w:fill="FFFFFF" w:val="clear"/>
        </w:rPr>
        <w:t>2</w:t>
      </w:r>
      <w:r>
        <w:rPr>
          <w:rFonts w:cs="Tinos" w:ascii="Tinos" w:hAnsi="Tinos"/>
          <w:b/>
          <w:bCs/>
          <w:color w:val="000000"/>
          <w:sz w:val="28"/>
          <w:szCs w:val="28"/>
          <w:lang w:eastAsia="ru-RU"/>
        </w:rPr>
        <w:t xml:space="preserve">. Вопрос: </w:t>
      </w:r>
      <w:r>
        <w:rPr>
          <w:rFonts w:cs="Tinos" w:ascii="Tinos" w:hAnsi="Tinos"/>
          <w:b/>
          <w:i/>
          <w:color w:val="000000"/>
          <w:sz w:val="28"/>
          <w:szCs w:val="28"/>
          <w:lang w:eastAsia="ru-RU"/>
        </w:rPr>
        <w:t>Пришло уведомление в Госуслуги о проведении комплексных кадастровых работ, что это значит?</w:t>
      </w:r>
    </w:p>
    <w:p>
      <w:pPr>
        <w:pStyle w:val="Normal"/>
        <w:pBdr/>
        <w:shd w:val="clear" w:color="FFFFFF" w:themeColor="background1" w:fill="FFFFFF" w:themeFill="background1"/>
        <w:spacing w:lineRule="auto" w:line="240" w:before="0" w:after="0"/>
        <w:ind w:firstLine="567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b/>
          <w:bCs/>
          <w:color w:themeColor="text1" w:val="000000"/>
          <w:sz w:val="28"/>
          <w:szCs w:val="28"/>
        </w:rPr>
        <w:t>Ответ:</w:t>
      </w:r>
      <w:r>
        <w:rPr>
          <w:rFonts w:eastAsia="Tinos" w:cs="Tinos" w:ascii="Tinos" w:hAnsi="Tinos"/>
          <w:color w:themeColor="text1" w:val="000000"/>
          <w:sz w:val="28"/>
          <w:szCs w:val="28"/>
        </w:rPr>
        <w:t xml:space="preserve"> </w:t>
      </w:r>
      <w:r>
        <w:rPr>
          <w:rFonts w:eastAsia="Tinos" w:cs="Tinos" w:ascii="Tinos" w:hAnsi="Tinos"/>
          <w:color w:themeColor="text1" w:val="000000"/>
          <w:sz w:val="28"/>
          <w:szCs w:val="28"/>
          <w:highlight w:val="white"/>
        </w:rPr>
        <w:t>Уведомление о проведении комплексных кадастровых работ (ККР) означает, что в отношении территории, в границах которой расположен принадлежащий Вам объект, проводятся мероприятия по уточнению местоположения границ земельных участков, установлению или уточнению местоположения на земельных участках зданий, сооружений, объектов незавершенного строительства.</w:t>
      </w:r>
    </w:p>
    <w:p>
      <w:pPr>
        <w:pStyle w:val="Normal"/>
        <w:pBdr/>
        <w:shd w:val="clear" w:color="FFFFFF" w:themeColor="background1" w:fill="FFFFFF" w:themeFill="background1"/>
        <w:spacing w:lineRule="auto" w:line="240" w:before="0" w:after="0"/>
        <w:ind w:firstLine="567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 xml:space="preserve"> </w:t>
      </w:r>
      <w:r>
        <w:rPr>
          <w:rFonts w:eastAsia="Tinos" w:cs="Tinos" w:ascii="Tinos" w:hAnsi="Tinos"/>
          <w:color w:themeColor="text1" w:val="000000"/>
          <w:sz w:val="28"/>
          <w:szCs w:val="28"/>
        </w:rPr>
        <w:t xml:space="preserve">Комплексные кадастровые работы выполняются одновременно в отношении всех объектов, расположенных на территории одного или нескольких смежных кадастровых кварталов или территориях, указанных в ч. 1 ст. 42.11 </w:t>
      </w:r>
      <w:r>
        <w:rPr>
          <w:rFonts w:eastAsia="Tinos" w:cs="Tinos" w:ascii="Tinos" w:hAnsi="Tinos"/>
          <w:color w:themeColor="text1" w:val="000000"/>
          <w:spacing w:val="-4"/>
          <w:sz w:val="28"/>
          <w:szCs w:val="28"/>
        </w:rPr>
        <w:t>Федеральный закон от 24.07.2007 №221-ФЗ «О кадастровой деятельности».</w:t>
      </w:r>
    </w:p>
    <w:p>
      <w:pPr>
        <w:pStyle w:val="Normal"/>
        <w:pBdr/>
        <w:shd w:val="clear" w:color="FFFFFF" w:themeColor="background1" w:fill="FFFFFF" w:themeFill="background1"/>
        <w:spacing w:lineRule="auto" w:line="240" w:before="0" w:after="0"/>
        <w:ind w:firstLine="567"/>
        <w:jc w:val="both"/>
        <w:rPr>
          <w:rFonts w:ascii="Tinos" w:hAnsi="Tinos" w:cs="Tinos"/>
          <w:color w:themeColor="text1" w:val="000000"/>
          <w:sz w:val="28"/>
          <w:szCs w:val="28"/>
          <w:highlight w:val="white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Они проводятся по инициативе уполномоченных органов за бюджетные средства или по инициативе правообладателей за их средства (ч. 1 ст. 42.2 Закона о кадастровой деятельности</w:t>
      </w:r>
      <w:r>
        <w:rPr>
          <w:rFonts w:eastAsia="Tinos" w:cs="Tinos" w:ascii="Tinos" w:hAnsi="Tinos"/>
          <w:color w:themeColor="text1" w:val="000000"/>
          <w:sz w:val="28"/>
          <w:szCs w:val="28"/>
          <w:highlight w:val="white"/>
        </w:rPr>
        <w:t>).</w:t>
      </w:r>
    </w:p>
    <w:p>
      <w:pPr>
        <w:pStyle w:val="Normal"/>
        <w:pBdr/>
        <w:shd w:val="clear" w:color="FFFFFF" w:themeColor="background1" w:fill="FFFFFF" w:themeFill="background1"/>
        <w:spacing w:lineRule="auto" w:line="240" w:before="0" w:after="0"/>
        <w:ind w:firstLine="567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Целями ККР являются:</w:t>
      </w:r>
    </w:p>
    <w:p>
      <w:pPr>
        <w:pStyle w:val="ListParagraph"/>
        <w:numPr>
          <w:ilvl w:val="0"/>
          <w:numId w:val="2"/>
        </w:numPr>
        <w:pBdr/>
        <w:shd w:val="clear" w:color="FFFFFF" w:themeColor="background1" w:fill="FFFFFF" w:themeFill="background1"/>
        <w:spacing w:lineRule="auto" w:line="240" w:before="0" w:after="0"/>
        <w:ind w:firstLine="567" w:left="0"/>
        <w:contextualSpacing w:val="false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уточнение границ земельных участков;</w:t>
      </w:r>
    </w:p>
    <w:p>
      <w:pPr>
        <w:pStyle w:val="ListParagraph"/>
        <w:numPr>
          <w:ilvl w:val="0"/>
          <w:numId w:val="2"/>
        </w:numPr>
        <w:pBdr/>
        <w:shd w:val="clear" w:color="FFFFFF" w:themeColor="background1" w:fill="FFFFFF" w:themeFill="background1"/>
        <w:spacing w:lineRule="auto" w:line="240" w:before="0" w:after="0"/>
        <w:ind w:firstLine="567" w:left="0"/>
        <w:contextualSpacing w:val="false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установление или уточнение местоположения объектов капитального строительства и незавершённого строительства на земельных участках;</w:t>
      </w:r>
    </w:p>
    <w:p>
      <w:pPr>
        <w:pStyle w:val="ListParagraph"/>
        <w:numPr>
          <w:ilvl w:val="0"/>
          <w:numId w:val="2"/>
        </w:numPr>
        <w:pBdr/>
        <w:shd w:val="clear" w:color="FFFFFF" w:themeColor="background1" w:fill="FFFFFF" w:themeFill="background1"/>
        <w:spacing w:lineRule="auto" w:line="240" w:before="0" w:after="0"/>
        <w:ind w:firstLine="567" w:left="0"/>
        <w:contextualSpacing w:val="false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образование новых земельных участков;</w:t>
      </w:r>
    </w:p>
    <w:p>
      <w:pPr>
        <w:pStyle w:val="ListParagraph"/>
        <w:numPr>
          <w:ilvl w:val="0"/>
          <w:numId w:val="2"/>
        </w:numPr>
        <w:pBdr/>
        <w:shd w:val="clear" w:color="FFFFFF" w:themeColor="background1" w:fill="FFFFFF" w:themeFill="background1"/>
        <w:spacing w:lineRule="auto" w:line="240" w:before="0" w:after="0"/>
        <w:ind w:firstLine="567" w:left="0"/>
        <w:contextualSpacing w:val="false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исправление реестровых ошибок в сведениях Единого государственного реестра недвижимости (ЕГРН);</w:t>
      </w:r>
    </w:p>
    <w:p>
      <w:pPr>
        <w:pStyle w:val="ListParagraph"/>
        <w:numPr>
          <w:ilvl w:val="0"/>
          <w:numId w:val="2"/>
        </w:numPr>
        <w:pBdr/>
        <w:shd w:val="clear" w:color="FFFFFF" w:themeColor="background1" w:fill="FFFFFF" w:themeFill="background1"/>
        <w:spacing w:lineRule="auto" w:line="240" w:before="0" w:after="0"/>
        <w:ind w:firstLine="567" w:left="0"/>
        <w:contextualSpacing w:val="false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исключение дублирующих сведений ЕГРН;</w:t>
      </w:r>
    </w:p>
    <w:p>
      <w:pPr>
        <w:pStyle w:val="ListParagraph"/>
        <w:numPr>
          <w:ilvl w:val="0"/>
          <w:numId w:val="2"/>
        </w:numPr>
        <w:pBdr/>
        <w:shd w:val="clear" w:color="FFFFFF" w:themeColor="background1" w:fill="FFFFFF" w:themeFill="background1"/>
        <w:spacing w:lineRule="auto" w:line="240" w:before="0" w:after="0"/>
        <w:ind w:firstLine="567" w:left="0"/>
        <w:contextualSpacing w:val="false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выявление правообладателей и неучтённых объектов недвижимости.</w:t>
      </w:r>
    </w:p>
    <w:p>
      <w:pPr>
        <w:pStyle w:val="Normal"/>
        <w:pBdr/>
        <w:shd w:val="clear" w:color="FFFFFF" w:themeColor="background1" w:fill="FFFFFF" w:themeFill="background1"/>
        <w:spacing w:lineRule="auto" w:line="240" w:before="0" w:after="0"/>
        <w:ind w:firstLine="567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Такие работы не выполняются в отношении:</w:t>
      </w:r>
    </w:p>
    <w:p>
      <w:pPr>
        <w:pStyle w:val="ListParagraph"/>
        <w:numPr>
          <w:ilvl w:val="0"/>
          <w:numId w:val="1"/>
        </w:numPr>
        <w:pBdr/>
        <w:shd w:val="clear" w:color="FFFFFF" w:themeColor="background1" w:fill="FFFFFF" w:themeFill="background1"/>
        <w:spacing w:lineRule="auto" w:line="240" w:before="0" w:after="0"/>
        <w:ind w:firstLine="567" w:left="0"/>
        <w:contextualSpacing w:val="false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линейных объектов (п. 3 ч. 1 ст. 42.1 Закона о кадастровой деятельности);</w:t>
      </w:r>
    </w:p>
    <w:p>
      <w:pPr>
        <w:pStyle w:val="ListParagraph"/>
        <w:numPr>
          <w:ilvl w:val="0"/>
          <w:numId w:val="1"/>
        </w:numPr>
        <w:pBdr/>
        <w:shd w:val="clear" w:color="FFFFFF" w:themeColor="background1" w:fill="FFFFFF" w:themeFill="background1"/>
        <w:spacing w:lineRule="auto" w:line="240" w:before="0" w:after="0"/>
        <w:ind w:firstLine="567" w:left="0"/>
        <w:contextualSpacing w:val="false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eastAsia="Tinos" w:cs="Tinos" w:ascii="Tinos" w:hAnsi="Tinos"/>
          <w:color w:themeColor="text1" w:val="000000"/>
          <w:sz w:val="28"/>
          <w:szCs w:val="28"/>
        </w:rPr>
        <w:t>земельных участков, расположенных в границах территории, в отношении которой принято решение о ее комплексном развитии (ч. 5 ст. 42.1 Закона о кадастровой деятельности).</w:t>
      </w:r>
    </w:p>
    <w:p>
      <w:pPr>
        <w:pStyle w:val="Normal"/>
        <w:pBdr/>
        <w:shd w:val="clear" w:color="FFFFFF" w:themeColor="background1" w:fill="FFFFFF" w:themeFill="background1"/>
        <w:spacing w:lineRule="auto" w:line="240" w:before="0" w:after="0"/>
        <w:ind w:firstLine="567"/>
        <w:jc w:val="both"/>
        <w:rPr>
          <w:rFonts w:ascii="Tinos" w:hAnsi="Tinos" w:cs="Tinos"/>
          <w:color w:themeColor="text1" w:val="000000"/>
          <w:sz w:val="28"/>
          <w:szCs w:val="28"/>
        </w:rPr>
      </w:pPr>
      <w:r>
        <w:rPr>
          <w:rFonts w:cs="Tinos" w:ascii="Tinos" w:hAnsi="Tinos"/>
          <w:color w:themeColor="text1" w:val="000000"/>
          <w:sz w:val="28"/>
          <w:szCs w:val="28"/>
        </w:rPr>
        <w:t>В связи с этим, в случае получения уведомления о проведении ККР, рекомендуется проверить все ли Ваши объекты недвижимости поставлены на государственный кадастровый учет и права на них зарегистрированы в Едином государственном реестре недвижимости. При возникновении каких-либо споров, разногласий из-за границ земельного участка необходимо обратиться в согласительную комиссию, созданную при муниципальной администрации.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FFFFFF" w:val="clear"/>
        </w:rPr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 w:eastAsia="Calibri" w:cs="Tinos" w:eastAsiaTheme="minorHAnsi"/>
          <w:b/>
          <w:i/>
          <w:i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fill="FFFFFF" w:val="clear"/>
        </w:rPr>
        <w:t>3.</w:t>
      </w:r>
      <w:r>
        <w:rPr>
          <w:bCs/>
          <w:color w:val="000000"/>
          <w:sz w:val="28"/>
          <w:szCs w:val="28"/>
          <w:shd w:fill="FFFFFF" w:val="clear"/>
        </w:rPr>
        <w:t xml:space="preserve"> </w:t>
      </w:r>
      <w:r>
        <w:rPr>
          <w:rFonts w:cs="Tinos" w:ascii="Tinos" w:hAnsi="Tinos"/>
          <w:b/>
          <w:bCs/>
          <w:i/>
          <w:color w:val="000000"/>
          <w:sz w:val="28"/>
          <w:szCs w:val="28"/>
        </w:rPr>
        <w:t>Вопрос</w:t>
      </w:r>
      <w:r>
        <w:rPr>
          <w:b/>
          <w:i/>
          <w:color w:val="1F1F1F"/>
          <w:sz w:val="28"/>
          <w:szCs w:val="28"/>
        </w:rPr>
        <w:t xml:space="preserve">: </w:t>
      </w:r>
      <w:r>
        <w:rPr>
          <w:rFonts w:eastAsia="Calibri" w:cs="Tinos" w:ascii="Tinos" w:hAnsi="Tinos" w:eastAsiaTheme="minorHAnsi"/>
          <w:b/>
          <w:i/>
          <w:color w:val="000000"/>
          <w:sz w:val="28"/>
          <w:szCs w:val="28"/>
        </w:rPr>
        <w:t>Я обратился в службу судебных приставов по вопросу снятия запрета на совершение действий по регистрации прав с объектов недвижимого имущества, который был наложен более трех лет назад. Судебный пристав - исполнитель направил в Управление Росреестра почтой постановление о снятии запрета, но запрет остался актуален, несмотря на то, что номер исполнительного производства в этом постановлении совпадал с номером исполнительного производства, указанным в выписке из Единого государственного реестра недвижимости. Почему не сняли запрет?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eastAsia="Tinos" w:cs="Tinos" w:ascii="Tinos" w:hAnsi="Tinos"/>
          <w:b/>
          <w:bCs/>
          <w:color w:themeColor="text1" w:val="000000"/>
          <w:sz w:val="28"/>
          <w:szCs w:val="28"/>
        </w:rPr>
        <w:t xml:space="preserve">Ответ: </w:t>
      </w:r>
      <w:r>
        <w:rPr>
          <w:rFonts w:ascii="Tinos" w:hAnsi="Tinos"/>
          <w:color w:val="1F1F1F"/>
          <w:sz w:val="28"/>
          <w:szCs w:val="28"/>
        </w:rPr>
        <w:t>В Едином государственном реестре недвижимости погашается только та запись о запрете на совершение действий по регистрации прав, которая внесена на основании конкретного постановления, имеющего свой уникальный идентифицирующий номер, указанный в постановлении о снятии запрета. В случае отсутствия такого номера, помимо соответствия номера исполнительного производства, в постановлении о снятии запрета должна совпадать также и дата постановления о наложении запрета.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</w:rPr>
        <w:t xml:space="preserve">Исключением может являться только постановление судебного пристава - исполнителя об окончании исполнительного производства, когда в нем указано на необходимость отмены всех обеспечительных мер.  </w:t>
      </w:r>
    </w:p>
    <w:p>
      <w:pPr>
        <w:pStyle w:val="Standard"/>
        <w:shd w:val="clear" w:color="auto" w:fill="FFFFFF"/>
        <w:ind w:firstLine="709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</w:rPr>
        <w:t>В вашем случае в постановлении о снятии запрета должны совпадать и дата постановления о наложении запрета, и номер исполнительного производства.</w:t>
      </w:r>
    </w:p>
    <w:p>
      <w:pPr>
        <w:pStyle w:val="Standard"/>
        <w:shd w:val="clear" w:color="auto" w:fill="FFFFFF"/>
        <w:jc w:val="both"/>
        <w:rPr>
          <w:rFonts w:ascii="Tinos" w:hAnsi="Tinos"/>
          <w:color w:val="1F1F1F"/>
          <w:sz w:val="28"/>
          <w:szCs w:val="28"/>
        </w:rPr>
      </w:pPr>
      <w:r>
        <w:rPr>
          <w:rFonts w:ascii="Tinos" w:hAnsi="Tinos"/>
          <w:color w:val="1F1F1F"/>
          <w:sz w:val="28"/>
          <w:szCs w:val="28"/>
        </w:rPr>
      </w:r>
    </w:p>
    <w:p>
      <w:pPr>
        <w:pStyle w:val="Standard"/>
        <w:ind w:firstLine="567"/>
        <w:jc w:val="both"/>
        <w:rPr/>
      </w:pPr>
      <w:r>
        <w:rPr>
          <w:b/>
          <w:bCs/>
          <w:color w:val="000000"/>
          <w:sz w:val="28"/>
          <w:szCs w:val="28"/>
          <w:shd w:fill="FFFFFF" w:val="clear"/>
        </w:rPr>
        <w:t>4.</w:t>
      </w:r>
      <w:r>
        <w:rPr>
          <w:bCs/>
          <w:color w:val="000000"/>
          <w:sz w:val="28"/>
          <w:szCs w:val="28"/>
          <w:shd w:fill="FFFFFF" w:val="clear"/>
        </w:rPr>
        <w:t xml:space="preserve"> </w:t>
      </w:r>
      <w:r>
        <w:rPr>
          <w:rFonts w:cs="Tinos" w:ascii="Tinos" w:hAnsi="Tinos"/>
          <w:b/>
          <w:bCs/>
          <w:color w:val="000000"/>
          <w:sz w:val="28"/>
          <w:szCs w:val="28"/>
        </w:rPr>
        <w:t>Вопрос</w:t>
      </w:r>
      <w:r>
        <w:rPr>
          <w:b/>
          <w:color w:val="1F1F1F"/>
          <w:sz w:val="28"/>
          <w:szCs w:val="28"/>
        </w:rPr>
        <w:t xml:space="preserve">: </w:t>
      </w:r>
      <w:r>
        <w:rPr>
          <w:rStyle w:val="Internetlink"/>
          <w:b/>
          <w:i/>
          <w:color w:val="111111"/>
          <w:sz w:val="28"/>
          <w:szCs w:val="28"/>
          <w:u w:val="none"/>
        </w:rPr>
        <w:t>Могут ли быть представлены на регистрацию документы в виде электронного образа документа (скан, заверенный усиленной квалифицированной электронной подписью - УКЭП)?</w:t>
      </w:r>
    </w:p>
    <w:p>
      <w:pPr>
        <w:pStyle w:val="Standard"/>
        <w:ind w:firstLine="567"/>
        <w:jc w:val="both"/>
        <w:rPr>
          <w:color w:val="111111"/>
          <w:sz w:val="28"/>
          <w:szCs w:val="28"/>
        </w:rPr>
      </w:pPr>
      <w:r>
        <w:rPr>
          <w:rFonts w:eastAsia="Tinos" w:cs="Tinos" w:ascii="Tinos" w:hAnsi="Tinos"/>
          <w:b/>
          <w:bCs/>
          <w:color w:themeColor="text1" w:val="000000"/>
          <w:sz w:val="28"/>
          <w:szCs w:val="28"/>
        </w:rPr>
        <w:t xml:space="preserve">Ответ: </w:t>
      </w:r>
      <w:r>
        <w:rPr>
          <w:rStyle w:val="Internetlink"/>
          <w:color w:val="111111"/>
          <w:sz w:val="28"/>
          <w:szCs w:val="28"/>
          <w:u w:val="none"/>
        </w:rPr>
        <w:t>Исходя из положений Федерального закона от 13.07.2015 N 218-ФЗ «О государственной регистрации недвижимости» если при представлении в орган регистрации прав в форме документа на бумажном носителе такой документ представляется в копии (без представления подлинника), при представлении такого документа в электронном виде он может быть представлен в форме электронного образа документа, подписанного либо УКЭП лица, подписавшего такой документ на бумажном носителе, либо УКЭП лица, которое в соответствии с нормативными правовыми актами Российской Федерации уполномочено заверять копию такого документа, изготовленную на бумажном носителе (например, к таким документам относятся судебные акты, акты органов государственной власти и органов местного самоуправления);</w:t>
      </w:r>
    </w:p>
    <w:p>
      <w:pPr>
        <w:pStyle w:val="Standard"/>
        <w:ind w:firstLine="567"/>
        <w:jc w:val="both"/>
        <w:rPr>
          <w:rStyle w:val="Internetlink"/>
          <w:color w:val="111111"/>
          <w:sz w:val="28"/>
          <w:szCs w:val="28"/>
          <w:u w:val="none"/>
        </w:rPr>
      </w:pPr>
      <w:r>
        <w:rPr>
          <w:rStyle w:val="Internetlink"/>
          <w:color w:val="111111"/>
          <w:sz w:val="28"/>
          <w:szCs w:val="28"/>
          <w:u w:val="none"/>
        </w:rPr>
        <w:t>- если при представлении в орган регистрации прав в форме документа на бумажном носителе такой документ представляется в подлиннике, то при его представлении в электронном виде этот документ должен быть представлен в форме электронного документа, подписанного УКЭП лица (лиц), уполномоченного(ых) на его подписание на бумажном носителе (например, УКЭП сторон договора, УКЭП должностного лица); к таким документам относятся в том числе прилагаемые к соответствующему заявлению о государственной регистрации прав договоры (включая нотариально удостоверенные), иные документы, за исключением указанных в предыдущем абзаце.</w:t>
      </w:r>
    </w:p>
    <w:p>
      <w:pPr>
        <w:pStyle w:val="Standard"/>
        <w:ind w:firstLine="567"/>
        <w:jc w:val="both"/>
        <w:rPr>
          <w:rStyle w:val="Internetlink"/>
          <w:b/>
          <w:color w:val="111111"/>
          <w:sz w:val="28"/>
          <w:szCs w:val="28"/>
          <w:u w:val="none"/>
        </w:rPr>
      </w:pPr>
      <w:r>
        <w:rPr>
          <w:b/>
          <w:color w:val="111111"/>
          <w:sz w:val="28"/>
          <w:szCs w:val="28"/>
          <w:u w:val="none"/>
        </w:rPr>
      </w:r>
    </w:p>
    <w:p>
      <w:pPr>
        <w:pStyle w:val="Standard"/>
        <w:ind w:firstLine="567"/>
        <w:jc w:val="both"/>
        <w:rPr>
          <w:rFonts w:ascii="Tinos" w:hAnsi="Tinos"/>
          <w:sz w:val="28"/>
          <w:szCs w:val="28"/>
          <w:shd w:fill="FFFFFF" w:val="clear"/>
        </w:rPr>
      </w:pPr>
      <w:r>
        <w:rPr>
          <w:rStyle w:val="Internetlink"/>
          <w:b/>
          <w:color w:val="111111"/>
          <w:sz w:val="28"/>
          <w:szCs w:val="28"/>
          <w:u w:val="none"/>
        </w:rPr>
        <w:t xml:space="preserve">5. </w:t>
      </w:r>
      <w:r>
        <w:rPr>
          <w:rFonts w:cs="Tinos" w:ascii="Tinos" w:hAnsi="Tinos"/>
          <w:b/>
          <w:bCs/>
          <w:color w:val="000000"/>
          <w:sz w:val="28"/>
          <w:szCs w:val="28"/>
        </w:rPr>
        <w:t xml:space="preserve">Вопрос: </w:t>
      </w:r>
      <w:r>
        <w:rPr>
          <w:rFonts w:ascii="Tinos" w:hAnsi="Tinos"/>
          <w:b/>
          <w:i/>
          <w:sz w:val="28"/>
          <w:szCs w:val="28"/>
          <w:shd w:fill="FFFFFF" w:val="clear"/>
        </w:rPr>
        <w:t>Имеются ли льготы по уплате государственной пошлины, лицам, принимающим или принимавшим участие в специальной военной операции (СВО) при покупке ими недвижимого имущества?</w:t>
      </w:r>
    </w:p>
    <w:p>
      <w:pPr>
        <w:pStyle w:val="Standard"/>
        <w:ind w:firstLine="567"/>
        <w:jc w:val="both"/>
        <w:rPr>
          <w:rFonts w:ascii="Tinos" w:hAnsi="Tinos"/>
          <w:sz w:val="28"/>
          <w:szCs w:val="28"/>
        </w:rPr>
      </w:pPr>
      <w:r>
        <w:rPr>
          <w:rFonts w:eastAsia="Tinos" w:cs="Tinos" w:ascii="Tinos" w:hAnsi="Tinos"/>
          <w:b/>
          <w:bCs/>
          <w:color w:themeColor="text1" w:val="000000"/>
          <w:sz w:val="28"/>
          <w:szCs w:val="28"/>
        </w:rPr>
        <w:t xml:space="preserve">Ответ: </w:t>
      </w:r>
      <w:r>
        <w:rPr>
          <w:rFonts w:ascii="Tinos" w:hAnsi="Tinos"/>
          <w:color w:val="292C2F"/>
          <w:sz w:val="28"/>
          <w:szCs w:val="28"/>
        </w:rPr>
        <w:t>Д</w:t>
      </w:r>
      <w:r>
        <w:rPr>
          <w:rFonts w:ascii="Tinos" w:hAnsi="Tinos"/>
          <w:sz w:val="28"/>
          <w:szCs w:val="28"/>
        </w:rPr>
        <w:t>а, лица, принимающие (принимавшие) участие в СВО, а также обеспечивающие (обеспечивавшие) выполнение задач в ходе СВО на территориях Украины, Донецкой Народной Республики, Луганской Народной Республики, Запорожской области и Херсонской области, освобождаются от уплаты государственной пошлины за кадастровый учет и (или) регистрацию прав на недвижимость (в соответствии с подпунктом 20 пункта 1 статьи 333.35 Налогового кодекса Российской Федерации). При личном обращении в офис МФЦ необходимо сообщить сотруднику о своем статусе и предоставить документы, подтверждающие право на льготу (удостоверение ветерана боевых действий, документы участника СВО, иные документы).</w:t>
      </w:r>
      <w:bookmarkEnd w:id="0"/>
    </w:p>
    <w:p>
      <w:pPr>
        <w:pStyle w:val="Standard"/>
        <w:ind w:firstLine="56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Standard"/>
        <w:ind w:firstLine="56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Standard"/>
        <w:ind w:firstLine="567"/>
        <w:jc w:val="both"/>
        <w:rPr>
          <w:sz w:val="28"/>
          <w:szCs w:val="28"/>
        </w:rPr>
      </w:pPr>
      <w:r>
        <w:rPr>
          <w:rFonts w:ascii="Tinos" w:hAnsi="Tinos"/>
          <w:sz w:val="28"/>
          <w:szCs w:val="28"/>
        </w:rPr>
        <w:br/>
      </w:r>
      <w:r>
        <w:rPr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6"/>
          <w:szCs w:val="26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inos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color w:val="000000"/>
      </w:rPr>
    </w:lvl>
    <w:lvl w:ilvl="1">
      <w:start w:val="1"/>
      <w:numFmt w:val="bullet"/>
      <w:lvlText w:val="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color w:val="000000"/>
      </w:rPr>
    </w:lvl>
    <w:lvl w:ilvl="2">
      <w:start w:val="1"/>
      <w:numFmt w:val="bullet"/>
      <w:lvlText w:val="·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  <w:sz w:val="24"/>
        <w:color w:val="000000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  <w:sz w:val="24"/>
        <w:color w:val="000000"/>
      </w:rPr>
    </w:lvl>
    <w:lvl w:ilvl="4">
      <w:start w:val="1"/>
      <w:numFmt w:val="bullet"/>
      <w:lvlText w:val="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  <w:sz w:val="24"/>
        <w:color w:val="000000"/>
      </w:rPr>
    </w:lvl>
    <w:lvl w:ilvl="5">
      <w:start w:val="1"/>
      <w:numFmt w:val="bullet"/>
      <w:lvlText w:val="·"/>
      <w:lvlJc w:val="left"/>
      <w:pPr>
        <w:tabs>
          <w:tab w:val="num" w:pos="0"/>
        </w:tabs>
        <w:ind w:left="4309" w:hanging="360"/>
      </w:pPr>
      <w:rPr>
        <w:rFonts w:ascii="Symbol" w:hAnsi="Symbol" w:cs="Symbol" w:hint="default"/>
        <w:sz w:val="24"/>
        <w:color w:val="000000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  <w:sz w:val="24"/>
        <w:color w:val="000000"/>
      </w:rPr>
    </w:lvl>
    <w:lvl w:ilvl="7">
      <w:start w:val="1"/>
      <w:numFmt w:val="bullet"/>
      <w:lvlText w:val="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  <w:sz w:val="24"/>
        <w:color w:val="000000"/>
      </w:rPr>
    </w:lvl>
    <w:lvl w:ilvl="8">
      <w:start w:val="1"/>
      <w:numFmt w:val="bullet"/>
      <w:lvlText w:val="·"/>
      <w:lvlJc w:val="left"/>
      <w:pPr>
        <w:tabs>
          <w:tab w:val="num" w:pos="0"/>
        </w:tabs>
        <w:ind w:left="6469" w:hanging="360"/>
      </w:pPr>
      <w:rPr>
        <w:rFonts w:ascii="Symbol" w:hAnsi="Symbol" w:cs="Symbol" w:hint="default"/>
        <w:sz w:val="24"/>
        <w:color w:val="000000"/>
      </w:rPr>
    </w:lvl>
  </w:abstractNum>
  <w:abstractNum w:abstractNumId="2">
    <w:lvl w:ilvl="0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numFmt w:val="bullet"/>
      <w:lvlText w:val="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2">
      <w:start w:val="1"/>
      <w:numFmt w:val="bullet"/>
      <w:lvlText w:val="·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5">
      <w:start w:val="1"/>
      <w:numFmt w:val="bullet"/>
      <w:lvlText w:val="·"/>
      <w:lvlJc w:val="left"/>
      <w:pPr>
        <w:tabs>
          <w:tab w:val="num" w:pos="0"/>
        </w:tabs>
        <w:ind w:left="4309" w:hanging="360"/>
      </w:pPr>
      <w:rPr>
        <w:rFonts w:ascii="Symbol" w:hAnsi="Symbol" w:cs="Symbol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8">
      <w:start w:val="1"/>
      <w:numFmt w:val="bullet"/>
      <w:lvlText w:val="·"/>
      <w:lvlJc w:val="left"/>
      <w:pPr>
        <w:tabs>
          <w:tab w:val="num" w:pos="0"/>
        </w:tabs>
        <w:ind w:left="6469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character" w:styleId="Internetlink" w:customStyle="1">
    <w:name w:val="Internet link"/>
    <w:basedOn w:val="DefaultParagraphFont"/>
    <w:qFormat/>
    <w:rsid w:val="009670ee"/>
    <w:rPr>
      <w:color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Application>LibreOffice/25.2.6.2$Linux_X86_64 LibreOffice_project/520$Build-2</Application>
  <AppVersion>15.0000</AppVersion>
  <Pages>4</Pages>
  <Words>982</Words>
  <Characters>6798</Characters>
  <CharactersWithSpaces>7742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2026-03-31T12:32:00Z</cp:lastPrinted>
  <dcterms:modified xsi:type="dcterms:W3CDTF">2026-06-26T12:18:00Z</dcterms:modified>
  <cp:revision>105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