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 xml:space="preserve">Доставка пенсии </w:t>
      </w:r>
      <w:r>
        <w:rPr/>
        <w:t xml:space="preserve">несовершеннолетним пенсионерам по потере кормильца </w:t>
      </w:r>
      <w:r>
        <w:rPr/>
        <w:t>производится по желанию пенсионера: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  </w:t>
      </w:r>
      <w:r>
        <w:rPr/>
        <w:t>через кредитную организацию путем зачисления сумм пенсии на счет;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  </w:t>
      </w:r>
      <w:r>
        <w:rPr/>
        <w:t>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</w:t>
      </w:r>
    </w:p>
    <w:p>
      <w:pPr>
        <w:pStyle w:val="Style18"/>
        <w:spacing w:before="0" w:after="283"/>
        <w:rPr/>
      </w:pPr>
      <w:r>
        <w:rPr/>
        <w:t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пенсии возможно производить как на его имя, так и на имя его законного представителя (родителя, усыновителя, опекуна, попечителя).</w:t>
      </w:r>
    </w:p>
    <w:p>
      <w:pPr>
        <w:pStyle w:val="Style18"/>
        <w:spacing w:before="0" w:after="283"/>
        <w:rPr/>
      </w:pPr>
      <w:r>
        <w:rPr/>
        <w:t>Таким образом, если получателем пенсии является ребенок в возрасте до 18 лет доставка пенсии может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>
      <w:pPr>
        <w:pStyle w:val="Style18"/>
        <w:spacing w:before="0" w:after="283"/>
        <w:rPr/>
      </w:pPr>
      <w:r>
        <w:rPr/>
        <w:t>При этом суммы пенсий, причитающиеся несовершеннолетнему 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>
      <w:pPr>
        <w:pStyle w:val="Style18"/>
        <w:spacing w:before="0" w:after="283"/>
        <w:rPr/>
      </w:pPr>
      <w:r>
        <w:rPr/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>
      <w:pPr>
        <w:pStyle w:val="Style18"/>
        <w:spacing w:before="0" w:after="283"/>
        <w:rPr/>
      </w:pPr>
      <w:r>
        <w:rPr/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2020-10-07T14:23:09Z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